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EC" w:rsidRPr="00DA0497" w:rsidRDefault="006F58EC" w:rsidP="006F58EC">
      <w:pPr>
        <w:pStyle w:val="Heading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94830294"/>
      <w:bookmarkStart w:id="1" w:name="_Toc496605141"/>
      <w:r>
        <w:rPr>
          <w:lang w:val="el-GR"/>
        </w:rPr>
        <w:t>ΠΑΡΑΡΤΗΜΑ ΙV – Υπόδειγμα Οικονομικής Προσφοράς</w:t>
      </w:r>
      <w:bookmarkEnd w:id="0"/>
      <w:bookmarkEnd w:id="1"/>
    </w:p>
    <w:p w:rsidR="006F58EC" w:rsidRDefault="006F58EC" w:rsidP="006F58EC">
      <w:pPr>
        <w:pStyle w:val="normalwithoutspacing"/>
      </w:pPr>
      <w:r>
        <w:t>........................</w:t>
      </w:r>
    </w:p>
    <w:p w:rsidR="006F58EC" w:rsidRPr="001A04F4" w:rsidRDefault="006F58EC" w:rsidP="006F58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Προς: </w:t>
      </w:r>
    </w:p>
    <w:p w:rsidR="006F58EC" w:rsidRPr="001A04F4" w:rsidRDefault="006F58EC" w:rsidP="006F58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Γεωπονικό Πανεπιστήμιο Αθηνών, </w:t>
      </w:r>
    </w:p>
    <w:p w:rsidR="006F58EC" w:rsidRPr="001A04F4" w:rsidRDefault="006F58EC" w:rsidP="006F58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>Δ/</w:t>
      </w:r>
      <w:proofErr w:type="spellStart"/>
      <w:r w:rsidRPr="001A04F4">
        <w:rPr>
          <w:szCs w:val="22"/>
          <w:lang w:val="el-GR"/>
        </w:rPr>
        <w:t>νση</w:t>
      </w:r>
      <w:proofErr w:type="spellEnd"/>
      <w:r w:rsidRPr="001A04F4">
        <w:rPr>
          <w:szCs w:val="22"/>
          <w:lang w:val="el-GR"/>
        </w:rPr>
        <w:t xml:space="preserve"> Τεχνικής Υπηρεσίας</w:t>
      </w:r>
    </w:p>
    <w:p w:rsidR="006F58EC" w:rsidRPr="001A04F4" w:rsidRDefault="006F58EC" w:rsidP="006F58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Ιερά Οδός 75, </w:t>
      </w:r>
    </w:p>
    <w:p w:rsidR="006F58EC" w:rsidRPr="001A04F4" w:rsidRDefault="006F58EC" w:rsidP="006F58EC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Αθήνα 11855 </w:t>
      </w:r>
    </w:p>
    <w:p w:rsidR="006F58EC" w:rsidRPr="001A04F4" w:rsidRDefault="006F58EC" w:rsidP="006F58EC">
      <w:pPr>
        <w:spacing w:after="60"/>
        <w:rPr>
          <w:szCs w:val="22"/>
          <w:lang w:val="el-GR"/>
        </w:rPr>
      </w:pPr>
    </w:p>
    <w:p w:rsidR="006F58EC" w:rsidRPr="001A04F4" w:rsidRDefault="006F58EC" w:rsidP="006F58EC">
      <w:pPr>
        <w:spacing w:after="60"/>
        <w:jc w:val="center"/>
        <w:rPr>
          <w:b/>
          <w:szCs w:val="22"/>
          <w:lang w:val="el-GR"/>
        </w:rPr>
      </w:pPr>
    </w:p>
    <w:p w:rsidR="006F58EC" w:rsidRPr="001A04F4" w:rsidRDefault="006F58EC" w:rsidP="006F58EC">
      <w:pPr>
        <w:spacing w:after="60"/>
        <w:jc w:val="center"/>
        <w:rPr>
          <w:b/>
          <w:szCs w:val="22"/>
          <w:lang w:val="el-GR"/>
        </w:rPr>
      </w:pPr>
      <w:r w:rsidRPr="001A04F4">
        <w:rPr>
          <w:b/>
          <w:szCs w:val="22"/>
          <w:lang w:val="el-GR"/>
        </w:rPr>
        <w:t>ΟΙΚΟΝΟΜΙΚΗ ΠΡΟΣΦΟΡΑ</w:t>
      </w:r>
    </w:p>
    <w:p w:rsidR="006F58EC" w:rsidRPr="001A04F4" w:rsidRDefault="006F58EC" w:rsidP="006F58EC">
      <w:pPr>
        <w:spacing w:after="60"/>
        <w:rPr>
          <w:szCs w:val="22"/>
          <w:lang w:val="el-GR"/>
        </w:rPr>
      </w:pPr>
    </w:p>
    <w:p w:rsidR="006F58EC" w:rsidRPr="001A04F4" w:rsidRDefault="006F58EC" w:rsidP="006F58EC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αποκλειστικά βάσει τιμής για </w:t>
      </w:r>
      <w:r w:rsidRPr="00DA27D7">
        <w:rPr>
          <w:szCs w:val="22"/>
          <w:lang w:val="el-GR"/>
        </w:rPr>
        <w:t xml:space="preserve">«ΠΡΟΜΗΘΕΙΑ ΜΗΧΑΝΗΜΑΤΩΝ ΤΥΠΟΓΡΑΦΕΙΟΥ ΓΙΑ ΤΙΣ ΑΝΑΓΚΕΣ ΤΟΥ ΓΕΩΠΟΝΙΚΟΥ ΠΑΝΕΠΙΣΤΗΜΙΟΥ ΑΘΗΝΩΝ», σύμφωνα με την </w:t>
      </w:r>
      <w:proofErr w:type="spellStart"/>
      <w:r w:rsidRPr="00DA27D7">
        <w:rPr>
          <w:szCs w:val="22"/>
          <w:lang w:val="el-GR"/>
        </w:rPr>
        <w:t>υπ΄αριθμ</w:t>
      </w:r>
      <w:proofErr w:type="spellEnd"/>
      <w:r w:rsidRPr="00DA27D7">
        <w:rPr>
          <w:szCs w:val="22"/>
          <w:lang w:val="el-GR"/>
        </w:rPr>
        <w:t>. 8061/23.10.2017 διακήρυξη</w:t>
      </w:r>
      <w:r w:rsidRPr="001A04F4">
        <w:rPr>
          <w:szCs w:val="22"/>
          <w:lang w:val="el-GR"/>
        </w:rPr>
        <w:t xml:space="preserve"> </w:t>
      </w:r>
    </w:p>
    <w:p w:rsidR="006F58EC" w:rsidRDefault="006F58EC" w:rsidP="006F58EC">
      <w:pPr>
        <w:pStyle w:val="normalwithoutspacing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2694"/>
        <w:gridCol w:w="1275"/>
        <w:gridCol w:w="1276"/>
        <w:gridCol w:w="1276"/>
        <w:gridCol w:w="1417"/>
      </w:tblGrid>
      <w:tr w:rsidR="006F58EC" w:rsidRPr="004342F6" w:rsidTr="00816942">
        <w:tc>
          <w:tcPr>
            <w:tcW w:w="704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α/α</w:t>
            </w:r>
          </w:p>
        </w:tc>
        <w:tc>
          <w:tcPr>
            <w:tcW w:w="992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Κωδικός Άρθρου</w:t>
            </w:r>
          </w:p>
        </w:tc>
        <w:tc>
          <w:tcPr>
            <w:tcW w:w="2694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Είδος εργασίας</w:t>
            </w:r>
          </w:p>
        </w:tc>
        <w:tc>
          <w:tcPr>
            <w:tcW w:w="1275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Μονάδα μέτρησης</w:t>
            </w:r>
          </w:p>
        </w:tc>
        <w:tc>
          <w:tcPr>
            <w:tcW w:w="1276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Τεμάχια</w:t>
            </w:r>
          </w:p>
        </w:tc>
        <w:tc>
          <w:tcPr>
            <w:tcW w:w="1276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Τιμή μονάδας (€)</w:t>
            </w:r>
          </w:p>
        </w:tc>
        <w:tc>
          <w:tcPr>
            <w:tcW w:w="1417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Δαπάνη (€)</w:t>
            </w:r>
          </w:p>
        </w:tc>
      </w:tr>
      <w:tr w:rsidR="006F58EC" w:rsidRPr="004342F6" w:rsidTr="00816942">
        <w:tc>
          <w:tcPr>
            <w:tcW w:w="704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n-US" w:eastAsia="en-US"/>
              </w:rPr>
            </w:pPr>
            <w:r w:rsidRPr="004342F6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342F6">
              <w:rPr>
                <w:rFonts w:eastAsia="Calibri"/>
                <w:color w:val="000000"/>
                <w:sz w:val="20"/>
                <w:szCs w:val="20"/>
                <w:lang w:val="el-GR" w:eastAsia="el-GR"/>
              </w:rPr>
              <w:t>Α.Τ. 1</w:t>
            </w:r>
          </w:p>
        </w:tc>
        <w:tc>
          <w:tcPr>
            <w:tcW w:w="2694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342F6">
              <w:rPr>
                <w:rFonts w:eastAsia="Calibri"/>
                <w:color w:val="000000"/>
                <w:szCs w:val="22"/>
                <w:lang w:val="el-GR" w:eastAsia="el-GR"/>
              </w:rPr>
              <w:t>Βιβλιοδετικό μηχάνημα</w:t>
            </w:r>
          </w:p>
        </w:tc>
        <w:tc>
          <w:tcPr>
            <w:tcW w:w="1275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4342F6">
              <w:rPr>
                <w:rFonts w:eastAsia="Calibr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4342F6">
              <w:rPr>
                <w:rFonts w:eastAsia="Calibr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n-US" w:eastAsia="en-US"/>
              </w:rPr>
            </w:pPr>
            <w:r w:rsidRPr="004342F6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right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right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6F58EC" w:rsidRPr="004342F6" w:rsidTr="00816942">
        <w:tc>
          <w:tcPr>
            <w:tcW w:w="704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n-US" w:eastAsia="en-US"/>
              </w:rPr>
            </w:pPr>
            <w:r w:rsidRPr="004342F6">
              <w:rPr>
                <w:rFonts w:eastAsia="Calibri" w:cs="Times New Roman"/>
                <w:szCs w:val="22"/>
                <w:lang w:val="en-US"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342F6">
              <w:rPr>
                <w:rFonts w:eastAsia="Calibri"/>
                <w:color w:val="000000"/>
                <w:sz w:val="20"/>
                <w:szCs w:val="20"/>
                <w:lang w:val="el-GR" w:eastAsia="el-GR"/>
              </w:rPr>
              <w:t>Α.Τ. 2</w:t>
            </w:r>
          </w:p>
        </w:tc>
        <w:tc>
          <w:tcPr>
            <w:tcW w:w="2694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4342F6">
              <w:rPr>
                <w:rFonts w:eastAsia="Calibri" w:cs="Times New Roman"/>
                <w:szCs w:val="22"/>
                <w:lang w:val="el-GR" w:eastAsia="en-US"/>
              </w:rPr>
              <w:t>Διπλωτικό</w:t>
            </w:r>
            <w:proofErr w:type="spellEnd"/>
            <w:r w:rsidRPr="004342F6">
              <w:rPr>
                <w:rFonts w:eastAsia="Calibri" w:cs="Times New Roman"/>
                <w:szCs w:val="22"/>
                <w:lang w:val="el-GR" w:eastAsia="en-US"/>
              </w:rPr>
              <w:t xml:space="preserve"> μηχάνημα</w:t>
            </w:r>
          </w:p>
        </w:tc>
        <w:tc>
          <w:tcPr>
            <w:tcW w:w="1275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4342F6">
              <w:rPr>
                <w:rFonts w:eastAsia="Calibr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4342F6">
              <w:rPr>
                <w:rFonts w:eastAsia="Calibr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right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right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6F58EC" w:rsidRPr="004342F6" w:rsidTr="00816942">
        <w:tc>
          <w:tcPr>
            <w:tcW w:w="704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n-US" w:eastAsia="en-US"/>
              </w:rPr>
            </w:pPr>
            <w:r w:rsidRPr="004342F6">
              <w:rPr>
                <w:rFonts w:eastAsia="Calibri" w:cs="Times New Roman"/>
                <w:szCs w:val="22"/>
                <w:lang w:val="en-US"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342F6">
              <w:rPr>
                <w:rFonts w:eastAsia="Calibri"/>
                <w:color w:val="000000"/>
                <w:sz w:val="20"/>
                <w:szCs w:val="20"/>
                <w:lang w:val="el-GR" w:eastAsia="el-GR"/>
              </w:rPr>
              <w:t>Α.Τ. 3</w:t>
            </w:r>
          </w:p>
        </w:tc>
        <w:tc>
          <w:tcPr>
            <w:tcW w:w="2694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szCs w:val="22"/>
                <w:lang w:val="el-GR" w:eastAsia="en-US"/>
              </w:rPr>
              <w:t>Μηχάνημα συρραφής και ξακρίσματος</w:t>
            </w:r>
          </w:p>
        </w:tc>
        <w:tc>
          <w:tcPr>
            <w:tcW w:w="1275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proofErr w:type="spellStart"/>
            <w:r w:rsidRPr="004342F6">
              <w:rPr>
                <w:rFonts w:eastAsia="Calibri"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4342F6">
              <w:rPr>
                <w:rFonts w:eastAsia="Calibri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center"/>
              <w:rPr>
                <w:rFonts w:eastAsia="Calibri" w:cs="Times New Roman"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szCs w:val="22"/>
                <w:lang w:val="en-US"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right"/>
              <w:rPr>
                <w:rFonts w:eastAsia="Calibri" w:cs="Times New Roman"/>
                <w:szCs w:val="22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right"/>
              <w:rPr>
                <w:rFonts w:eastAsia="Calibri" w:cs="Times New Roman"/>
                <w:szCs w:val="22"/>
                <w:lang w:val="en-US" w:eastAsia="en-US"/>
              </w:rPr>
            </w:pPr>
          </w:p>
        </w:tc>
      </w:tr>
      <w:tr w:rsidR="006F58EC" w:rsidRPr="004342F6" w:rsidTr="00816942">
        <w:tc>
          <w:tcPr>
            <w:tcW w:w="8217" w:type="dxa"/>
            <w:gridSpan w:val="6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ΜΕΡΙΚΟ ΣΥΝΟΛΟ</w:t>
            </w:r>
          </w:p>
        </w:tc>
        <w:tc>
          <w:tcPr>
            <w:tcW w:w="1417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right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6F58EC" w:rsidRPr="004342F6" w:rsidTr="00816942">
        <w:tc>
          <w:tcPr>
            <w:tcW w:w="8217" w:type="dxa"/>
            <w:gridSpan w:val="6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ΦΠΑ 24 %</w:t>
            </w:r>
          </w:p>
        </w:tc>
        <w:tc>
          <w:tcPr>
            <w:tcW w:w="1417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right"/>
              <w:rPr>
                <w:rFonts w:eastAsia="Calibri" w:cs="Times New Roman"/>
                <w:szCs w:val="22"/>
                <w:lang w:val="el-GR" w:eastAsia="en-US"/>
              </w:rPr>
            </w:pPr>
          </w:p>
        </w:tc>
      </w:tr>
      <w:tr w:rsidR="006F58EC" w:rsidRPr="004342F6" w:rsidTr="00816942">
        <w:tc>
          <w:tcPr>
            <w:tcW w:w="8217" w:type="dxa"/>
            <w:gridSpan w:val="6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left"/>
              <w:rPr>
                <w:rFonts w:eastAsia="Calibri" w:cs="Times New Roman"/>
                <w:b/>
                <w:szCs w:val="22"/>
                <w:lang w:val="el-GR" w:eastAsia="en-US"/>
              </w:rPr>
            </w:pPr>
            <w:r w:rsidRPr="004342F6">
              <w:rPr>
                <w:rFonts w:eastAsia="Calibri" w:cs="Times New Roman"/>
                <w:b/>
                <w:szCs w:val="22"/>
                <w:lang w:val="el-GR" w:eastAsia="en-US"/>
              </w:rPr>
              <w:t>ΤΕΛΙΚΟ ΣΥΝΟΛΟ</w:t>
            </w:r>
          </w:p>
        </w:tc>
        <w:tc>
          <w:tcPr>
            <w:tcW w:w="1417" w:type="dxa"/>
            <w:shd w:val="clear" w:color="auto" w:fill="auto"/>
          </w:tcPr>
          <w:p w:rsidR="006F58EC" w:rsidRPr="004342F6" w:rsidRDefault="006F58EC" w:rsidP="00816942">
            <w:pPr>
              <w:suppressAutoHyphens w:val="0"/>
              <w:spacing w:after="0"/>
              <w:jc w:val="right"/>
              <w:rPr>
                <w:rFonts w:eastAsia="Calibri" w:cs="Times New Roman"/>
                <w:b/>
                <w:szCs w:val="22"/>
                <w:lang w:val="el-GR" w:eastAsia="en-US"/>
              </w:rPr>
            </w:pPr>
          </w:p>
        </w:tc>
      </w:tr>
    </w:tbl>
    <w:p w:rsidR="006F58EC" w:rsidRDefault="006F58EC" w:rsidP="006F58EC">
      <w:pPr>
        <w:pStyle w:val="normalwithoutspacing"/>
      </w:pPr>
    </w:p>
    <w:p w:rsidR="006F58EC" w:rsidRDefault="006F58EC" w:rsidP="006F58EC">
      <w:pPr>
        <w:pStyle w:val="normalwithoutspacing"/>
      </w:pPr>
    </w:p>
    <w:p w:rsidR="006F58EC" w:rsidRPr="001A04F4" w:rsidRDefault="006F58EC" w:rsidP="006F58EC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Η Προσφορά υποβάλλεται για το σύνολο του διαγωνισμού και ισχύει έως …/…/….</w:t>
      </w:r>
    </w:p>
    <w:p w:rsidR="006F58EC" w:rsidRPr="001A04F4" w:rsidRDefault="006F58EC" w:rsidP="006F58EC">
      <w:pPr>
        <w:spacing w:after="60"/>
        <w:rPr>
          <w:szCs w:val="22"/>
          <w:lang w:val="el-GR"/>
        </w:rPr>
      </w:pPr>
    </w:p>
    <w:p w:rsidR="006F58EC" w:rsidRPr="001A04F4" w:rsidRDefault="006F58EC" w:rsidP="006F58EC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:rsidR="006F58EC" w:rsidRDefault="006F58EC" w:rsidP="006F58EC">
      <w:pPr>
        <w:pStyle w:val="normalwithoutspacing"/>
      </w:pPr>
    </w:p>
    <w:p w:rsidR="006F58EC" w:rsidRDefault="006F58EC" w:rsidP="006F58EC">
      <w:pPr>
        <w:pStyle w:val="normalwithoutspacing"/>
      </w:pPr>
    </w:p>
    <w:p w:rsidR="006F58EC" w:rsidRDefault="006F58EC" w:rsidP="006F58EC">
      <w:pPr>
        <w:pStyle w:val="normalwithoutspacing"/>
      </w:pPr>
    </w:p>
    <w:p w:rsidR="003A3AD6" w:rsidRPr="006F58EC" w:rsidRDefault="003A3AD6" w:rsidP="006F58EC">
      <w:pPr>
        <w:rPr>
          <w:lang w:val="el-GR"/>
        </w:rPr>
      </w:pPr>
      <w:bookmarkStart w:id="2" w:name="_GoBack"/>
      <w:bookmarkEnd w:id="2"/>
    </w:p>
    <w:sectPr w:rsidR="003A3AD6" w:rsidRPr="006F58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EC"/>
    <w:rsid w:val="003A3AD6"/>
    <w:rsid w:val="006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DF3"/>
  <w15:chartTrackingRefBased/>
  <w15:docId w15:val="{4644C528-EA0A-49DA-938E-F0F13785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F58E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8E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Normal"/>
    <w:rsid w:val="006F58EC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6F58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2017-10-24T18:58:00Z</dcterms:created>
  <dcterms:modified xsi:type="dcterms:W3CDTF">2017-10-24T18:59:00Z</dcterms:modified>
</cp:coreProperties>
</file>